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664" w:rsidRPr="00291664" w:rsidRDefault="00291664" w:rsidP="00291664">
      <w:pPr>
        <w:rPr>
          <w:rFonts w:ascii="Arial" w:hAnsi="Arial" w:cs="Arial"/>
          <w:sz w:val="18"/>
          <w:szCs w:val="18"/>
          <w:lang w:eastAsia="en-NZ"/>
        </w:rPr>
      </w:pPr>
      <w:r w:rsidRPr="00291664">
        <w:rPr>
          <w:rFonts w:ascii="Arial" w:hAnsi="Arial" w:cs="Arial"/>
          <w:b/>
          <w:bCs/>
          <w:caps/>
          <w:color w:val="333333"/>
          <w:lang w:eastAsia="en-NZ"/>
        </w:rPr>
        <w:t>Language of science (Specialised language)</w:t>
      </w:r>
      <w:r w:rsidRPr="00291664">
        <w:rPr>
          <w:rFonts w:ascii="Arial" w:hAnsi="Arial" w:cs="Arial"/>
          <w:sz w:val="18"/>
          <w:szCs w:val="18"/>
          <w:lang w:eastAsia="en-NZ"/>
        </w:rPr>
        <w:t xml:space="preserve"> </w:t>
      </w:r>
    </w:p>
    <w:p w:rsidR="00291664" w:rsidRPr="00291664" w:rsidRDefault="00291664" w:rsidP="00291664">
      <w:pPr>
        <w:spacing w:before="100" w:beforeAutospacing="1"/>
        <w:rPr>
          <w:lang w:eastAsia="en-NZ"/>
        </w:rPr>
      </w:pPr>
      <w:r w:rsidRPr="00291664">
        <w:rPr>
          <w:lang w:eastAsia="en-NZ"/>
        </w:rPr>
        <w:t>Using Language, symbols and texts is one of the five key competencies outlined in the New Zealand Curriculum</w:t>
      </w:r>
      <w:proofErr w:type="gramStart"/>
      <w:r w:rsidRPr="00291664">
        <w:rPr>
          <w:lang w:eastAsia="en-NZ"/>
        </w:rPr>
        <w:t xml:space="preserve">. </w:t>
      </w:r>
      <w:proofErr w:type="gramEnd"/>
      <w:r w:rsidRPr="00291664">
        <w:rPr>
          <w:lang w:eastAsia="en-NZ"/>
        </w:rPr>
        <w:t>This document states: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5"/>
        <w:gridCol w:w="8516"/>
      </w:tblGrid>
      <w:tr w:rsidR="00291664" w:rsidRPr="00291664">
        <w:trPr>
          <w:tblCellSpacing w:w="15" w:type="dxa"/>
        </w:trPr>
        <w:tc>
          <w:tcPr>
            <w:tcW w:w="600" w:type="dxa"/>
            <w:vAlign w:val="center"/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41"/>
            </w:tblGrid>
            <w:tr w:rsidR="00291664" w:rsidRPr="0029166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91664" w:rsidRPr="00291664" w:rsidRDefault="00291664" w:rsidP="00291664">
                  <w:pPr>
                    <w:rPr>
                      <w:rFonts w:ascii="Arial" w:hAnsi="Arial" w:cs="Arial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People use languages and symbols to produce texts of all kinds: written, oral/aural, and visual; informative and </w:t>
            </w:r>
            <w:proofErr w:type="spell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imagainative</w:t>
            </w:r>
            <w:proofErr w:type="spell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; informal and formal; mathematical, scientific, and technical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(p. 12.) </w:t>
            </w:r>
          </w:p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441"/>
            </w:tblGrid>
            <w:tr w:rsidR="00291664" w:rsidRPr="00291664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291664" w:rsidRPr="00291664" w:rsidRDefault="00291664" w:rsidP="00291664">
                  <w:pPr>
                    <w:rPr>
                      <w:rFonts w:ascii="Arial" w:hAnsi="Arial" w:cs="Arial"/>
                      <w:sz w:val="18"/>
                      <w:szCs w:val="18"/>
                      <w:lang w:eastAsia="en-NZ"/>
                    </w:rPr>
                  </w:pPr>
                </w:p>
              </w:tc>
            </w:tr>
          </w:tbl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</w:p>
        </w:tc>
      </w:tr>
    </w:tbl>
    <w:p w:rsidR="00291664" w:rsidRPr="00291664" w:rsidRDefault="00291664" w:rsidP="00291664">
      <w:pPr>
        <w:rPr>
          <w:rFonts w:ascii="Arial" w:hAnsi="Arial" w:cs="Arial"/>
          <w:sz w:val="18"/>
          <w:szCs w:val="18"/>
          <w:lang w:eastAsia="en-NZ"/>
        </w:rPr>
      </w:pPr>
      <w:r w:rsidRPr="00291664">
        <w:rPr>
          <w:rFonts w:ascii="Arial" w:hAnsi="Arial" w:cs="Arial"/>
          <w:sz w:val="18"/>
          <w:szCs w:val="18"/>
          <w:lang w:eastAsia="en-NZ"/>
        </w:rPr>
        <w:t xml:space="preserve">The importance of language is also reflected in the science curriculum which has a strand entitled </w:t>
      </w:r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 xml:space="preserve">Communicating in science. </w:t>
      </w:r>
    </w:p>
    <w:p w:rsidR="00291664" w:rsidRPr="00291664" w:rsidRDefault="00291664" w:rsidP="00291664">
      <w:pPr>
        <w:spacing w:after="120"/>
        <w:outlineLvl w:val="3"/>
        <w:rPr>
          <w:rFonts w:ascii="Arial" w:hAnsi="Arial" w:cs="Arial"/>
          <w:b/>
          <w:bCs/>
          <w:sz w:val="21"/>
          <w:szCs w:val="21"/>
          <w:lang w:eastAsia="en-NZ"/>
        </w:rPr>
      </w:pPr>
      <w:r w:rsidRPr="00291664">
        <w:rPr>
          <w:rFonts w:ascii="Arial" w:hAnsi="Arial" w:cs="Arial"/>
          <w:b/>
          <w:bCs/>
          <w:sz w:val="21"/>
          <w:szCs w:val="21"/>
          <w:lang w:eastAsia="en-NZ"/>
        </w:rPr>
        <w:br/>
        <w:t>Learning the language of science</w:t>
      </w:r>
    </w:p>
    <w:p w:rsidR="00291664" w:rsidRPr="00291664" w:rsidRDefault="00291664" w:rsidP="00291664">
      <w:pPr>
        <w:spacing w:before="100" w:beforeAutospacing="1"/>
        <w:rPr>
          <w:lang w:eastAsia="en-NZ"/>
        </w:rPr>
      </w:pPr>
      <w:r w:rsidRPr="00291664">
        <w:rPr>
          <w:lang w:eastAsia="en-NZ"/>
        </w:rPr>
        <w:t>In learning the language of science, students need to learn not only a specialised vocabulary but how words go together and when to use this way of communicating</w:t>
      </w:r>
      <w:proofErr w:type="gramStart"/>
      <w:r w:rsidRPr="00291664">
        <w:rPr>
          <w:lang w:eastAsia="en-NZ"/>
        </w:rPr>
        <w:t xml:space="preserve">. </w:t>
      </w:r>
      <w:proofErr w:type="gramEnd"/>
      <w:r w:rsidRPr="00291664">
        <w:rPr>
          <w:lang w:eastAsia="en-NZ"/>
        </w:rPr>
        <w:t>The challenge is to teach these "rules of the game" whilst still valuing the ways of using language that the students bring to the classroom</w:t>
      </w:r>
      <w:proofErr w:type="gramStart"/>
      <w:r w:rsidRPr="00291664">
        <w:rPr>
          <w:lang w:eastAsia="en-NZ"/>
        </w:rPr>
        <w:t xml:space="preserve">. </w:t>
      </w:r>
      <w:proofErr w:type="gramEnd"/>
      <w:r w:rsidRPr="00291664">
        <w:rPr>
          <w:lang w:eastAsia="en-NZ"/>
        </w:rPr>
        <w:t xml:space="preserve">The role for teachers is to help students build bridges between their known and familiar ways of using language, and academic ways of using language. </w:t>
      </w:r>
    </w:p>
    <w:p w:rsidR="00291664" w:rsidRPr="00291664" w:rsidRDefault="00291664" w:rsidP="00291664">
      <w:pPr>
        <w:spacing w:after="120"/>
        <w:outlineLvl w:val="3"/>
        <w:rPr>
          <w:rFonts w:ascii="Arial" w:hAnsi="Arial" w:cs="Arial"/>
          <w:b/>
          <w:bCs/>
          <w:sz w:val="21"/>
          <w:szCs w:val="21"/>
          <w:lang w:eastAsia="en-NZ"/>
        </w:rPr>
      </w:pPr>
      <w:r w:rsidRPr="00291664">
        <w:rPr>
          <w:rFonts w:ascii="Arial" w:hAnsi="Arial" w:cs="Arial"/>
          <w:b/>
          <w:bCs/>
          <w:sz w:val="21"/>
          <w:szCs w:val="21"/>
          <w:lang w:eastAsia="en-NZ"/>
        </w:rPr>
        <w:br/>
        <w:t>What does the language of science look like?</w:t>
      </w:r>
    </w:p>
    <w:p w:rsidR="00291664" w:rsidRPr="00291664" w:rsidRDefault="00291664" w:rsidP="00291664">
      <w:pPr>
        <w:spacing w:before="100" w:beforeAutospacing="1"/>
        <w:rPr>
          <w:lang w:eastAsia="en-NZ"/>
        </w:rPr>
      </w:pPr>
      <w:r w:rsidRPr="00291664">
        <w:rPr>
          <w:lang w:eastAsia="en-NZ"/>
        </w:rPr>
        <w:t>(The following are examples of language features found in traditional science texts</w:t>
      </w:r>
      <w:proofErr w:type="gramStart"/>
      <w:r w:rsidRPr="00291664">
        <w:rPr>
          <w:lang w:eastAsia="en-NZ"/>
        </w:rPr>
        <w:t xml:space="preserve">. </w:t>
      </w:r>
      <w:proofErr w:type="gramEnd"/>
      <w:r w:rsidRPr="00291664">
        <w:rPr>
          <w:lang w:eastAsia="en-NZ"/>
        </w:rPr>
        <w:t>However science texts, like all others, come in many forms; the genre is diverse and constantly changing and evolving.)</w:t>
      </w:r>
    </w:p>
    <w:tbl>
      <w:tblPr>
        <w:tblW w:w="900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00"/>
        <w:gridCol w:w="4500"/>
      </w:tblGrid>
      <w:tr w:rsidR="00291664" w:rsidRPr="00291664"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60" w:after="60"/>
              <w:outlineLvl w:val="3"/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  <w:t>Text Organisation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60" w:after="60"/>
              <w:outlineLvl w:val="3"/>
              <w:rPr>
                <w:rFonts w:ascii="Arial" w:hAnsi="Arial" w:cs="Arial"/>
                <w:b/>
                <w:bCs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lang w:eastAsia="en-NZ"/>
              </w:rPr>
              <w:t>Example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Text structure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Information is presented in a logical order where meaning is built up step by step.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The gecko uses its detachable tail in two ways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It drops its tail if a predator grabs it, and it may also drop its tail if a predator is approaching.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Evaporation occurs when water is heated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This involves...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Connectives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proofErr w:type="spell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Connectives</w:t>
            </w:r>
            <w:proofErr w:type="spell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link ideas so that claims about knowledge can be formed and justified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The place of connectives within a sentence varies.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The gecko uses its detachable tail in two ways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It drops its tail if a predator grabs it, and it may also drop its tail if a predator is approaching.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Evaporation occurs when water is heated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This involves... 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hyperlink r:id="rId5" w:anchor="connectives" w:history="1">
              <w:r w:rsidRPr="00291664">
                <w:rPr>
                  <w:rFonts w:ascii="Arial" w:hAnsi="Arial" w:cs="Arial"/>
                  <w:color w:val="993300"/>
                  <w:sz w:val="18"/>
                  <w:szCs w:val="18"/>
                  <w:u w:val="single"/>
                  <w:lang w:eastAsia="en-NZ"/>
                </w:rPr>
                <w:t>Other connectives</w:t>
              </w:r>
            </w:hyperlink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include those used to clarify, sequence ideas, and present a condition or concession.</w:t>
            </w:r>
          </w:p>
        </w:tc>
      </w:tr>
      <w:tr w:rsidR="00291664" w:rsidRPr="00291664">
        <w:trPr>
          <w:trHeight w:val="288"/>
        </w:trPr>
        <w:tc>
          <w:tcPr>
            <w:tcW w:w="2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60" w:after="60"/>
              <w:outlineLvl w:val="3"/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  <w:t>Language Feature</w:t>
            </w:r>
          </w:p>
        </w:tc>
        <w:tc>
          <w:tcPr>
            <w:tcW w:w="25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60" w:after="60"/>
              <w:outlineLvl w:val="3"/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21"/>
                <w:szCs w:val="21"/>
                <w:lang w:eastAsia="en-NZ"/>
              </w:rPr>
              <w:t>Example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bookmarkStart w:id="0" w:name="technical"/>
            <w:bookmarkEnd w:id="0"/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Technical language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Technical words are specific to a particular topic, field, or academic discipline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These words, i.e., their scientific meanings, are usually uncommon elsewhere. </w:t>
            </w:r>
          </w:p>
          <w:p w:rsidR="00291664" w:rsidRPr="00291664" w:rsidRDefault="00291664" w:rsidP="00291664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General words that also have different scientific meanings.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after="100" w:afterAutospacing="1"/>
              <w:rPr>
                <w:lang w:eastAsia="en-NZ"/>
              </w:rPr>
            </w:pPr>
            <w:r w:rsidRPr="00291664">
              <w:rPr>
                <w:lang w:eastAsia="en-NZ"/>
              </w:rPr>
              <w:br/>
              <w:t xml:space="preserve">Indigenous, </w:t>
            </w:r>
            <w:proofErr w:type="spellStart"/>
            <w:r w:rsidRPr="00291664">
              <w:rPr>
                <w:lang w:eastAsia="en-NZ"/>
              </w:rPr>
              <w:t>podocarp</w:t>
            </w:r>
            <w:proofErr w:type="spellEnd"/>
            <w:r w:rsidRPr="00291664">
              <w:rPr>
                <w:lang w:eastAsia="en-NZ"/>
              </w:rPr>
              <w:t>, regeneration; endangered, database, DNA samples, dorsal fin, habitats, Hector's dolphin, species, run-off pollution; Co</w:t>
            </w:r>
            <w:r w:rsidRPr="00291664">
              <w:rPr>
                <w:vertAlign w:val="subscript"/>
                <w:lang w:eastAsia="en-NZ"/>
              </w:rPr>
              <w:t>2</w:t>
            </w:r>
            <w:r w:rsidRPr="00291664">
              <w:rPr>
                <w:lang w:eastAsia="en-NZ"/>
              </w:rPr>
              <w:t>; solution, periodic table.</w:t>
            </w:r>
          </w:p>
          <w:p w:rsidR="00291664" w:rsidRPr="00291664" w:rsidRDefault="00291664" w:rsidP="00291664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Potential, wastes, solution.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Academic language</w:t>
            </w:r>
            <w:proofErr w:type="gramStart"/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:</w:t>
            </w:r>
            <w:proofErr w:type="gramEnd"/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Academic words are common to the range of academic disciplines.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Default="00291664" w:rsidP="00291664">
            <w:pPr>
              <w:spacing w:before="100" w:beforeAutospacing="1" w:after="100" w:afterAutospacing="1"/>
              <w:rPr>
                <w:rFonts w:ascii="Arial" w:hAnsi="Arial" w:cs="Arial"/>
                <w:color w:val="993300"/>
                <w:sz w:val="18"/>
                <w:szCs w:val="18"/>
                <w:u w:val="single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Affect, analyse, assess, concept, conclude, consequent, define, design, estimate, formula, identify, indicate, interpret, major, method, process, resource, relevant, select, similar, specific, theory, transfer, vary.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proofErr w:type="spell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Averil</w:t>
            </w:r>
            <w:proofErr w:type="spell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</w:t>
            </w:r>
            <w:proofErr w:type="spell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Coxhead’s</w:t>
            </w:r>
            <w:proofErr w:type="spell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full list of academic words: 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hyperlink r:id="rId6" w:history="1">
              <w:r w:rsidRPr="00291664">
                <w:rPr>
                  <w:rFonts w:ascii="Arial" w:hAnsi="Arial" w:cs="Arial"/>
                  <w:color w:val="993300"/>
                  <w:sz w:val="18"/>
                  <w:szCs w:val="18"/>
                  <w:u w:val="single"/>
                  <w:lang w:eastAsia="en-NZ"/>
                </w:rPr>
                <w:t>language.massey.ac.nz/staff/awl/awlinfo.shtml</w:t>
              </w:r>
            </w:hyperlink>
          </w:p>
          <w:p w:rsidR="00660D56" w:rsidRPr="00291664" w:rsidRDefault="00660D56" w:rsidP="00291664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eastAsia="en-NZ"/>
              </w:rPr>
            </w:pPr>
            <w:bookmarkStart w:id="1" w:name="_GoBack"/>
            <w:bookmarkEnd w:id="1"/>
          </w:p>
        </w:tc>
      </w:tr>
      <w:tr w:rsidR="00291664" w:rsidRPr="00291664">
        <w:tc>
          <w:tcPr>
            <w:tcW w:w="25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lastRenderedPageBreak/>
              <w:t>Condensed language: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Information is densely packed, i.e., several ideas are packed into just a small amount of text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bookmarkStart w:id="2" w:name="nominalisation"/>
            <w:bookmarkEnd w:id="2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fldChar w:fldCharType="begin"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instrText xml:space="preserve"> HYPERLINK "http://arb.nzcer.org.nz/supportmaterials/english/thinking-about-how-language-works.php" \l "nominalisation" </w:instrTex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fldChar w:fldCharType="separate"/>
            </w:r>
            <w:r w:rsidRPr="00291664">
              <w:rPr>
                <w:rFonts w:ascii="Arial" w:hAnsi="Arial" w:cs="Arial"/>
                <w:color w:val="993300"/>
                <w:sz w:val="18"/>
                <w:szCs w:val="18"/>
                <w:u w:val="single"/>
                <w:lang w:eastAsia="en-NZ"/>
              </w:rPr>
              <w:t>Nominalisation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fldChar w:fldCharType="end"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condenses information by removing the person and sometimes other details such as time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It is a process by which verbs, and sometimes adjectives, become nouns.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100" w:beforeAutospacing="1" w:after="180"/>
              <w:rPr>
                <w:lang w:eastAsia="en-NZ"/>
              </w:rPr>
            </w:pPr>
            <w:r w:rsidRPr="00291664">
              <w:rPr>
                <w:lang w:eastAsia="en-NZ"/>
              </w:rPr>
              <w:br/>
            </w:r>
            <w:r w:rsidRPr="00291664">
              <w:rPr>
                <w:lang w:eastAsia="en-NZ"/>
              </w:rPr>
              <w:br/>
              <w:t>"Heavy rain causes the water to rise up high and spill over the banks" (an example of a child’s use of everyday language to explain a process) is turned into "Heavy rain causes flooding" (an example of a more condensed form of language).</w:t>
            </w:r>
            <w:r w:rsidRPr="00291664">
              <w:rPr>
                <w:lang w:eastAsia="en-NZ"/>
              </w:rPr>
              <w:br/>
            </w:r>
            <w:r w:rsidRPr="00291664">
              <w:rPr>
                <w:lang w:eastAsia="en-NZ"/>
              </w:rPr>
              <w:br/>
              <w:t>("…water to rise up high and spill over the banks" is written using mainly verb phrases – "to rise up high" and "spill over"; "flooding" is written as a noun).</w:t>
            </w:r>
            <w:r w:rsidRPr="00291664">
              <w:rPr>
                <w:lang w:eastAsia="en-NZ"/>
              </w:rPr>
              <w:br/>
            </w:r>
            <w:r w:rsidRPr="00291664">
              <w:rPr>
                <w:lang w:eastAsia="en-NZ"/>
              </w:rPr>
              <w:br/>
              <w:t>In this example, a lengthy explanation is turned into a single noun – "flooding".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Factual and objective: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The focus is on things and processes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People's thoughts, feelings and opinions are not usually of interest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Personal pronouns such as "it" and "they" are reasonably common, especially in scientific reports, but "she", "he", "we", "I", and "you", are not.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100" w:beforeAutospacing="1" w:after="180"/>
              <w:rPr>
                <w:lang w:eastAsia="en-NZ"/>
              </w:rPr>
            </w:pPr>
            <w:r w:rsidRPr="00291664">
              <w:rPr>
                <w:lang w:eastAsia="en-NZ"/>
              </w:rPr>
              <w:br/>
            </w:r>
            <w:r w:rsidRPr="00291664">
              <w:rPr>
                <w:lang w:eastAsia="en-NZ"/>
              </w:rPr>
              <w:br/>
              <w:t>Southern right whales do not have teeth</w:t>
            </w:r>
            <w:proofErr w:type="gramStart"/>
            <w:r w:rsidRPr="00291664">
              <w:rPr>
                <w:lang w:eastAsia="en-NZ"/>
              </w:rPr>
              <w:t xml:space="preserve">. </w:t>
            </w:r>
            <w:proofErr w:type="gramEnd"/>
            <w:r w:rsidRPr="00291664">
              <w:rPr>
                <w:lang w:eastAsia="en-NZ"/>
              </w:rPr>
              <w:t>Instead they have filters, called baleen or whalebone, which...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Passive voice</w:t>
            </w:r>
            <w:proofErr w:type="gramStart"/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: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The passive voice focuses attention on the action, not who did it.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The subject of a clause receives the action (or state) of the verb, i.e., the subject is the target of the action.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In contrast, the active voice is where the subject is the agent or actor of the verb.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Baking soda and vinegar [subject] were mixed [verb]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I.e., the baking soda and vinegar receive the action of the verb in that they </w:t>
            </w:r>
            <w:r w:rsidRPr="00291664">
              <w:rPr>
                <w:rFonts w:ascii="Arial" w:hAnsi="Arial" w:cs="Arial"/>
                <w:i/>
                <w:iCs/>
                <w:sz w:val="18"/>
                <w:szCs w:val="18"/>
                <w:lang w:eastAsia="en-NZ"/>
              </w:rPr>
              <w:t>were mixed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br/>
              <w:t>We [subject] mixed the baking soda and vinegar [verb]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I.e., "We" (the students) is the agent or actor of the verb in that the students </w:t>
            </w:r>
            <w:r w:rsidRPr="00291664">
              <w:rPr>
                <w:rFonts w:ascii="Arial" w:hAnsi="Arial" w:cs="Arial"/>
                <w:i/>
                <w:iCs/>
                <w:sz w:val="18"/>
                <w:szCs w:val="18"/>
                <w:lang w:eastAsia="en-NZ"/>
              </w:rPr>
              <w:t>mixed</w:t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 the baking soda and vinegar.</w:t>
            </w:r>
          </w:p>
        </w:tc>
      </w:tr>
      <w:tr w:rsidR="00291664" w:rsidRPr="00291664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t>"Doing" and "linking" verbs</w:t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b/>
                <w:bCs/>
                <w:sz w:val="18"/>
                <w:szCs w:val="18"/>
                <w:lang w:eastAsia="en-NZ"/>
              </w:rPr>
              <w:br/>
            </w: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"Doing" verbs express the action and happenings in a text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"Linking" verbs link pieces of information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These types of verbs are common in science texts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The verbs of inner consciousness such as feeling, thinking, believing, and seeing, are not</w:t>
            </w:r>
            <w:proofErr w:type="gramStart"/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 xml:space="preserve">. 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60" w:type="dxa"/>
              <w:bottom w:w="0" w:type="dxa"/>
              <w:right w:w="60" w:type="dxa"/>
            </w:tcMar>
            <w:hideMark/>
          </w:tcPr>
          <w:p w:rsidR="00291664" w:rsidRPr="00291664" w:rsidRDefault="00291664" w:rsidP="00291664">
            <w:pPr>
              <w:spacing w:before="100" w:beforeAutospacing="1" w:after="180"/>
              <w:rPr>
                <w:lang w:eastAsia="en-NZ"/>
              </w:rPr>
            </w:pPr>
            <w:r w:rsidRPr="00291664">
              <w:rPr>
                <w:lang w:eastAsia="en-NZ"/>
              </w:rPr>
              <w:br/>
            </w:r>
            <w:r w:rsidRPr="00291664">
              <w:rPr>
                <w:lang w:eastAsia="en-NZ"/>
              </w:rPr>
              <w:br/>
              <w:t>"Doing" verbs, e.g., Geckos speed away whenever an enemy comes near</w:t>
            </w:r>
            <w:proofErr w:type="gramStart"/>
            <w:r w:rsidRPr="00291664">
              <w:rPr>
                <w:lang w:eastAsia="en-NZ"/>
              </w:rPr>
              <w:t xml:space="preserve">. </w:t>
            </w:r>
            <w:proofErr w:type="gramEnd"/>
            <w:r w:rsidRPr="00291664">
              <w:rPr>
                <w:lang w:eastAsia="en-NZ"/>
              </w:rPr>
              <w:t>("</w:t>
            </w:r>
            <w:proofErr w:type="gramStart"/>
            <w:r w:rsidRPr="00291664">
              <w:rPr>
                <w:lang w:eastAsia="en-NZ"/>
              </w:rPr>
              <w:t>speed</w:t>
            </w:r>
            <w:proofErr w:type="gramEnd"/>
            <w:r w:rsidRPr="00291664">
              <w:rPr>
                <w:lang w:eastAsia="en-NZ"/>
              </w:rPr>
              <w:t xml:space="preserve"> away" and "comes near" are verb groups.)</w:t>
            </w:r>
          </w:p>
          <w:p w:rsidR="00291664" w:rsidRPr="00291664" w:rsidRDefault="00291664" w:rsidP="00291664">
            <w:pPr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  <w:lang w:eastAsia="en-NZ"/>
              </w:rPr>
            </w:pPr>
            <w:r w:rsidRPr="00291664">
              <w:rPr>
                <w:rFonts w:ascii="Arial" w:hAnsi="Arial" w:cs="Arial"/>
                <w:sz w:val="18"/>
                <w:szCs w:val="18"/>
                <w:lang w:eastAsia="en-NZ"/>
              </w:rPr>
              <w:t>"Linking" verbs, e.g., Hooker's sea lions are native to New Zealand ("are" links "Hooker's sea lions" with "native to New Zealand") and, e.g., Ants have six legs (“have” links “Ants” with “legs”).</w:t>
            </w:r>
          </w:p>
        </w:tc>
      </w:tr>
    </w:tbl>
    <w:p w:rsidR="00291664" w:rsidRPr="00291664" w:rsidRDefault="00291664" w:rsidP="00291664">
      <w:pPr>
        <w:spacing w:before="100" w:beforeAutospacing="1" w:after="100" w:afterAutospacing="1"/>
        <w:rPr>
          <w:lang w:eastAsia="en-NZ"/>
        </w:rPr>
      </w:pPr>
      <w:r w:rsidRPr="00291664">
        <w:rPr>
          <w:lang w:eastAsia="en-NZ"/>
        </w:rPr>
        <w:t xml:space="preserve">Learning about academic ways of using language is </w:t>
      </w:r>
      <w:r w:rsidRPr="00291664">
        <w:rPr>
          <w:b/>
          <w:bCs/>
          <w:lang w:eastAsia="en-NZ"/>
        </w:rPr>
        <w:t>one</w:t>
      </w:r>
      <w:r w:rsidRPr="00291664">
        <w:rPr>
          <w:lang w:eastAsia="en-NZ"/>
        </w:rPr>
        <w:t xml:space="preserve"> way of helping students participate in new ways of learning, although this in itself, of course, will not automatically make the subject area relevant or meaningful to them.</w:t>
      </w:r>
    </w:p>
    <w:p w:rsidR="00291664" w:rsidRDefault="00291664" w:rsidP="00291664">
      <w:r w:rsidRPr="00291664">
        <w:rPr>
          <w:rFonts w:ascii="Arial" w:hAnsi="Arial" w:cs="Arial"/>
          <w:b/>
          <w:bCs/>
          <w:sz w:val="18"/>
          <w:szCs w:val="18"/>
          <w:lang w:eastAsia="en-NZ"/>
        </w:rPr>
        <w:t>References</w:t>
      </w:r>
      <w:r w:rsidRPr="00291664">
        <w:rPr>
          <w:rFonts w:ascii="Arial" w:hAnsi="Arial" w:cs="Arial"/>
          <w:b/>
          <w:bCs/>
          <w:sz w:val="18"/>
          <w:szCs w:val="18"/>
          <w:lang w:eastAsia="en-NZ"/>
        </w:rPr>
        <w:br/>
      </w:r>
      <w:proofErr w:type="spellStart"/>
      <w:r w:rsidRPr="00291664">
        <w:rPr>
          <w:rFonts w:ascii="Arial" w:hAnsi="Arial" w:cs="Arial"/>
          <w:sz w:val="18"/>
          <w:szCs w:val="18"/>
          <w:lang w:eastAsia="en-NZ"/>
        </w:rPr>
        <w:t>Derewianka</w:t>
      </w:r>
      <w:proofErr w:type="spellEnd"/>
      <w:r w:rsidRPr="00291664">
        <w:rPr>
          <w:rFonts w:ascii="Arial" w:hAnsi="Arial" w:cs="Arial"/>
          <w:sz w:val="18"/>
          <w:szCs w:val="18"/>
          <w:lang w:eastAsia="en-NZ"/>
        </w:rPr>
        <w:t>, B. (1994)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>Exploring how language works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sz w:val="18"/>
          <w:szCs w:val="18"/>
          <w:lang w:eastAsia="en-NZ"/>
        </w:rPr>
        <w:t>Newtown, NSW: PETA.</w:t>
      </w:r>
      <w:r w:rsidRPr="00291664">
        <w:rPr>
          <w:rFonts w:ascii="Arial" w:hAnsi="Arial" w:cs="Arial"/>
          <w:sz w:val="18"/>
          <w:szCs w:val="18"/>
          <w:lang w:eastAsia="en-NZ"/>
        </w:rPr>
        <w:br/>
      </w:r>
      <w:proofErr w:type="spellStart"/>
      <w:r w:rsidRPr="00291664">
        <w:rPr>
          <w:rFonts w:ascii="Arial" w:hAnsi="Arial" w:cs="Arial"/>
          <w:sz w:val="18"/>
          <w:szCs w:val="18"/>
          <w:lang w:eastAsia="en-NZ"/>
        </w:rPr>
        <w:t>Derewianka</w:t>
      </w:r>
      <w:proofErr w:type="spellEnd"/>
      <w:r w:rsidRPr="00291664">
        <w:rPr>
          <w:rFonts w:ascii="Arial" w:hAnsi="Arial" w:cs="Arial"/>
          <w:sz w:val="18"/>
          <w:szCs w:val="18"/>
          <w:lang w:eastAsia="en-NZ"/>
        </w:rPr>
        <w:t>, B. (2005)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>A grammar companion for primary teachers</w:t>
      </w:r>
      <w:proofErr w:type="gramStart"/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>.</w:t>
      </w:r>
      <w:r w:rsidRPr="00291664">
        <w:rPr>
          <w:rFonts w:ascii="Arial" w:hAnsi="Arial" w:cs="Arial"/>
          <w:sz w:val="18"/>
          <w:szCs w:val="18"/>
          <w:lang w:eastAsia="en-NZ"/>
        </w:rPr>
        <w:t xml:space="preserve"> </w:t>
      </w:r>
      <w:proofErr w:type="gramEnd"/>
      <w:r w:rsidRPr="00291664">
        <w:rPr>
          <w:rFonts w:ascii="Arial" w:hAnsi="Arial" w:cs="Arial"/>
          <w:sz w:val="18"/>
          <w:szCs w:val="18"/>
          <w:lang w:eastAsia="en-NZ"/>
        </w:rPr>
        <w:t>Newtown, NSW: PETA.</w:t>
      </w:r>
      <w:r w:rsidRPr="00291664">
        <w:rPr>
          <w:rFonts w:ascii="Arial" w:hAnsi="Arial" w:cs="Arial"/>
          <w:sz w:val="18"/>
          <w:szCs w:val="18"/>
          <w:lang w:eastAsia="en-NZ"/>
        </w:rPr>
        <w:br/>
      </w:r>
      <w:proofErr w:type="spellStart"/>
      <w:r w:rsidRPr="00291664">
        <w:rPr>
          <w:rFonts w:ascii="Arial" w:hAnsi="Arial" w:cs="Arial"/>
          <w:sz w:val="18"/>
          <w:szCs w:val="18"/>
          <w:lang w:eastAsia="en-NZ"/>
        </w:rPr>
        <w:t>Halliday</w:t>
      </w:r>
      <w:proofErr w:type="spellEnd"/>
      <w:r w:rsidRPr="00291664">
        <w:rPr>
          <w:rFonts w:ascii="Arial" w:hAnsi="Arial" w:cs="Arial"/>
          <w:sz w:val="18"/>
          <w:szCs w:val="18"/>
          <w:lang w:eastAsia="en-NZ"/>
        </w:rPr>
        <w:t>, M.A.K., &amp; Martin, J.R. (1993)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>Writing science: Literacy and discursive power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sz w:val="18"/>
          <w:szCs w:val="18"/>
          <w:lang w:eastAsia="en-NZ"/>
        </w:rPr>
        <w:t xml:space="preserve">London/Washington D.C.: </w:t>
      </w:r>
      <w:proofErr w:type="spellStart"/>
      <w:r w:rsidRPr="00291664">
        <w:rPr>
          <w:rFonts w:ascii="Arial" w:hAnsi="Arial" w:cs="Arial"/>
          <w:sz w:val="18"/>
          <w:szCs w:val="18"/>
          <w:lang w:eastAsia="en-NZ"/>
        </w:rPr>
        <w:t>Falmer</w:t>
      </w:r>
      <w:proofErr w:type="spellEnd"/>
      <w:r w:rsidRPr="00291664">
        <w:rPr>
          <w:rFonts w:ascii="Arial" w:hAnsi="Arial" w:cs="Arial"/>
          <w:sz w:val="18"/>
          <w:szCs w:val="18"/>
          <w:lang w:eastAsia="en-NZ"/>
        </w:rPr>
        <w:t>.</w:t>
      </w:r>
      <w:r w:rsidRPr="00291664">
        <w:rPr>
          <w:rFonts w:ascii="Arial" w:hAnsi="Arial" w:cs="Arial"/>
          <w:sz w:val="18"/>
          <w:szCs w:val="18"/>
          <w:lang w:eastAsia="en-NZ"/>
        </w:rPr>
        <w:br/>
      </w:r>
      <w:proofErr w:type="spellStart"/>
      <w:r w:rsidRPr="00291664">
        <w:rPr>
          <w:rFonts w:ascii="Arial" w:hAnsi="Arial" w:cs="Arial"/>
          <w:sz w:val="18"/>
          <w:szCs w:val="18"/>
          <w:lang w:eastAsia="en-NZ"/>
        </w:rPr>
        <w:t>Schleppegrell</w:t>
      </w:r>
      <w:proofErr w:type="spellEnd"/>
      <w:r w:rsidRPr="00291664">
        <w:rPr>
          <w:rFonts w:ascii="Arial" w:hAnsi="Arial" w:cs="Arial"/>
          <w:sz w:val="18"/>
          <w:szCs w:val="18"/>
          <w:lang w:eastAsia="en-NZ"/>
        </w:rPr>
        <w:t>, M.J. (2004)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i/>
          <w:iCs/>
          <w:sz w:val="18"/>
          <w:szCs w:val="18"/>
          <w:lang w:eastAsia="en-NZ"/>
        </w:rPr>
        <w:t>The language of schooling: A functional linguistics perspective</w:t>
      </w:r>
      <w:proofErr w:type="gramStart"/>
      <w:r w:rsidRPr="00291664">
        <w:rPr>
          <w:rFonts w:ascii="Arial" w:hAnsi="Arial" w:cs="Arial"/>
          <w:sz w:val="18"/>
          <w:szCs w:val="18"/>
          <w:lang w:eastAsia="en-NZ"/>
        </w:rPr>
        <w:t xml:space="preserve">. </w:t>
      </w:r>
      <w:proofErr w:type="gramEnd"/>
      <w:r w:rsidRPr="00291664">
        <w:rPr>
          <w:rFonts w:ascii="Arial" w:hAnsi="Arial" w:cs="Arial"/>
          <w:sz w:val="18"/>
          <w:szCs w:val="18"/>
          <w:lang w:eastAsia="en-NZ"/>
        </w:rPr>
        <w:t>Mahwah, NJ: Lawrence Erlbaum Associates.</w:t>
      </w:r>
    </w:p>
    <w:p w:rsidR="00291664" w:rsidRDefault="00291664">
      <w:r>
        <w:t xml:space="preserve">Downloaded from </w:t>
      </w:r>
      <w:hyperlink r:id="rId7" w:history="1">
        <w:r w:rsidRPr="0091491F">
          <w:rPr>
            <w:rStyle w:val="Hyperlink"/>
          </w:rPr>
          <w:t>http://arb.nzcer.org.nz/supportmaterials/language_of_science.php</w:t>
        </w:r>
      </w:hyperlink>
      <w:r>
        <w:t xml:space="preserve"> </w:t>
      </w:r>
    </w:p>
    <w:sectPr w:rsidR="00291664" w:rsidSect="00291664">
      <w:pgSz w:w="11907" w:h="16840" w:code="9"/>
      <w:pgMar w:top="993" w:right="1418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664"/>
    <w:rsid w:val="00030F9A"/>
    <w:rsid w:val="000A2615"/>
    <w:rsid w:val="00143B1E"/>
    <w:rsid w:val="001528F5"/>
    <w:rsid w:val="0017622A"/>
    <w:rsid w:val="001B366B"/>
    <w:rsid w:val="001C7899"/>
    <w:rsid w:val="001E2229"/>
    <w:rsid w:val="00215516"/>
    <w:rsid w:val="00216CE3"/>
    <w:rsid w:val="0022686E"/>
    <w:rsid w:val="00232232"/>
    <w:rsid w:val="0027205C"/>
    <w:rsid w:val="00275D85"/>
    <w:rsid w:val="00291664"/>
    <w:rsid w:val="00294636"/>
    <w:rsid w:val="002B1D13"/>
    <w:rsid w:val="002C68D2"/>
    <w:rsid w:val="003407C5"/>
    <w:rsid w:val="003A1EC8"/>
    <w:rsid w:val="003D056A"/>
    <w:rsid w:val="003E326B"/>
    <w:rsid w:val="00423D44"/>
    <w:rsid w:val="00461428"/>
    <w:rsid w:val="004653B0"/>
    <w:rsid w:val="004673DB"/>
    <w:rsid w:val="0047750C"/>
    <w:rsid w:val="00495465"/>
    <w:rsid w:val="004C00ED"/>
    <w:rsid w:val="004C2F67"/>
    <w:rsid w:val="005204CD"/>
    <w:rsid w:val="005235D7"/>
    <w:rsid w:val="00523F25"/>
    <w:rsid w:val="00540A9E"/>
    <w:rsid w:val="00554D0E"/>
    <w:rsid w:val="00555F7C"/>
    <w:rsid w:val="005612A8"/>
    <w:rsid w:val="0057171A"/>
    <w:rsid w:val="00585776"/>
    <w:rsid w:val="005A21CB"/>
    <w:rsid w:val="005D4D19"/>
    <w:rsid w:val="005D5E48"/>
    <w:rsid w:val="00623A56"/>
    <w:rsid w:val="00660D56"/>
    <w:rsid w:val="006B55B7"/>
    <w:rsid w:val="006B5D7B"/>
    <w:rsid w:val="006D53C3"/>
    <w:rsid w:val="006E61DF"/>
    <w:rsid w:val="006F3439"/>
    <w:rsid w:val="00715963"/>
    <w:rsid w:val="0074243B"/>
    <w:rsid w:val="007616A4"/>
    <w:rsid w:val="00762598"/>
    <w:rsid w:val="00771CE7"/>
    <w:rsid w:val="00792509"/>
    <w:rsid w:val="007C060B"/>
    <w:rsid w:val="007D1E04"/>
    <w:rsid w:val="008047D0"/>
    <w:rsid w:val="00817C90"/>
    <w:rsid w:val="00822469"/>
    <w:rsid w:val="00842FD1"/>
    <w:rsid w:val="008440B1"/>
    <w:rsid w:val="008530E4"/>
    <w:rsid w:val="00872B89"/>
    <w:rsid w:val="00882109"/>
    <w:rsid w:val="0088672B"/>
    <w:rsid w:val="008B6DC5"/>
    <w:rsid w:val="008E4109"/>
    <w:rsid w:val="009463DB"/>
    <w:rsid w:val="0095302A"/>
    <w:rsid w:val="0097681D"/>
    <w:rsid w:val="009976FA"/>
    <w:rsid w:val="009C744F"/>
    <w:rsid w:val="009F7D61"/>
    <w:rsid w:val="00A2291D"/>
    <w:rsid w:val="00A27C98"/>
    <w:rsid w:val="00A4187D"/>
    <w:rsid w:val="00A540D4"/>
    <w:rsid w:val="00A568FE"/>
    <w:rsid w:val="00AB67D6"/>
    <w:rsid w:val="00B00ADE"/>
    <w:rsid w:val="00B1180B"/>
    <w:rsid w:val="00B42E13"/>
    <w:rsid w:val="00B430B3"/>
    <w:rsid w:val="00B43C4C"/>
    <w:rsid w:val="00B54D20"/>
    <w:rsid w:val="00B74091"/>
    <w:rsid w:val="00B87168"/>
    <w:rsid w:val="00BC2652"/>
    <w:rsid w:val="00BF559B"/>
    <w:rsid w:val="00C65A68"/>
    <w:rsid w:val="00C90AFF"/>
    <w:rsid w:val="00CC65D1"/>
    <w:rsid w:val="00CE0E58"/>
    <w:rsid w:val="00CE3CA3"/>
    <w:rsid w:val="00CF141C"/>
    <w:rsid w:val="00D335DD"/>
    <w:rsid w:val="00D5006A"/>
    <w:rsid w:val="00DA4D23"/>
    <w:rsid w:val="00DD15CA"/>
    <w:rsid w:val="00E06DAB"/>
    <w:rsid w:val="00E241C3"/>
    <w:rsid w:val="00E2477E"/>
    <w:rsid w:val="00E43CA2"/>
    <w:rsid w:val="00E72ACD"/>
    <w:rsid w:val="00EC3383"/>
    <w:rsid w:val="00ED7440"/>
    <w:rsid w:val="00F174D5"/>
    <w:rsid w:val="00F242CD"/>
    <w:rsid w:val="00F6160D"/>
    <w:rsid w:val="00F639BF"/>
    <w:rsid w:val="00F93AE1"/>
    <w:rsid w:val="00F9486B"/>
    <w:rsid w:val="00FD73F7"/>
    <w:rsid w:val="00FD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91664"/>
    <w:pPr>
      <w:spacing w:before="60" w:after="60"/>
      <w:outlineLvl w:val="3"/>
    </w:pPr>
    <w:rPr>
      <w:b/>
      <w:bCs/>
      <w:sz w:val="21"/>
      <w:szCs w:val="21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91664"/>
    <w:rPr>
      <w:b/>
      <w:bCs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91664"/>
    <w:rPr>
      <w:color w:val="993300"/>
      <w:u w:val="single"/>
    </w:rPr>
  </w:style>
  <w:style w:type="paragraph" w:styleId="NormalWeb">
    <w:name w:val="Normal (Web)"/>
    <w:basedOn w:val="Normal"/>
    <w:uiPriority w:val="99"/>
    <w:unhideWhenUsed/>
    <w:rsid w:val="00291664"/>
    <w:pPr>
      <w:spacing w:before="100" w:beforeAutospacing="1" w:after="100" w:afterAutospacing="1"/>
    </w:pPr>
    <w:rPr>
      <w:sz w:val="18"/>
      <w:szCs w:val="18"/>
      <w:lang w:eastAsia="en-NZ"/>
    </w:rPr>
  </w:style>
  <w:style w:type="character" w:customStyle="1" w:styleId="heading1">
    <w:name w:val="heading1"/>
    <w:basedOn w:val="DefaultParagraphFont"/>
    <w:rsid w:val="00291664"/>
    <w:rPr>
      <w:rFonts w:ascii="Arial" w:hAnsi="Arial" w:cs="Arial" w:hint="default"/>
      <w:b/>
      <w:bCs/>
      <w:caps/>
      <w:strike w:val="0"/>
      <w:dstrike w:val="0"/>
      <w:color w:val="333333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GB"/>
    </w:rPr>
  </w:style>
  <w:style w:type="paragraph" w:styleId="Heading4">
    <w:name w:val="heading 4"/>
    <w:basedOn w:val="Normal"/>
    <w:link w:val="Heading4Char"/>
    <w:uiPriority w:val="9"/>
    <w:qFormat/>
    <w:rsid w:val="00291664"/>
    <w:pPr>
      <w:spacing w:before="60" w:after="60"/>
      <w:outlineLvl w:val="3"/>
    </w:pPr>
    <w:rPr>
      <w:b/>
      <w:bCs/>
      <w:sz w:val="21"/>
      <w:szCs w:val="21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91664"/>
    <w:rPr>
      <w:b/>
      <w:bCs/>
      <w:sz w:val="21"/>
      <w:szCs w:val="21"/>
    </w:rPr>
  </w:style>
  <w:style w:type="character" w:styleId="Hyperlink">
    <w:name w:val="Hyperlink"/>
    <w:basedOn w:val="DefaultParagraphFont"/>
    <w:uiPriority w:val="99"/>
    <w:unhideWhenUsed/>
    <w:rsid w:val="00291664"/>
    <w:rPr>
      <w:color w:val="993300"/>
      <w:u w:val="single"/>
    </w:rPr>
  </w:style>
  <w:style w:type="paragraph" w:styleId="NormalWeb">
    <w:name w:val="Normal (Web)"/>
    <w:basedOn w:val="Normal"/>
    <w:uiPriority w:val="99"/>
    <w:unhideWhenUsed/>
    <w:rsid w:val="00291664"/>
    <w:pPr>
      <w:spacing w:before="100" w:beforeAutospacing="1" w:after="100" w:afterAutospacing="1"/>
    </w:pPr>
    <w:rPr>
      <w:sz w:val="18"/>
      <w:szCs w:val="18"/>
      <w:lang w:eastAsia="en-NZ"/>
    </w:rPr>
  </w:style>
  <w:style w:type="character" w:customStyle="1" w:styleId="heading1">
    <w:name w:val="heading1"/>
    <w:basedOn w:val="DefaultParagraphFont"/>
    <w:rsid w:val="00291664"/>
    <w:rPr>
      <w:rFonts w:ascii="Arial" w:hAnsi="Arial" w:cs="Arial" w:hint="default"/>
      <w:b/>
      <w:bCs/>
      <w:caps/>
      <w:strike w:val="0"/>
      <w:dstrike w:val="0"/>
      <w:color w:val="333333"/>
      <w:sz w:val="24"/>
      <w:szCs w:val="24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rb.nzcer.org.nz/supportmaterials/language_of_science.php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anguage.massey.ac.nz/staff/awl/awlinfo.shtml" TargetMode="External"/><Relationship Id="rId5" Type="http://schemas.openxmlformats.org/officeDocument/2006/relationships/hyperlink" Target="http://arb.nzcer.org.nz/supportmaterials/english/thinking-about-how-language-works.ph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957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Kate Rice</dc:creator>
  <cp:lastModifiedBy>Kate Rice</cp:lastModifiedBy>
  <cp:revision>2</cp:revision>
  <dcterms:created xsi:type="dcterms:W3CDTF">2012-05-11T00:27:00Z</dcterms:created>
  <dcterms:modified xsi:type="dcterms:W3CDTF">2012-07-10T23:32:00Z</dcterms:modified>
</cp:coreProperties>
</file>